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E73B36" w14:textId="77777777" w:rsidR="00F44437" w:rsidRPr="00F44437" w:rsidRDefault="00F44437" w:rsidP="00F44437">
      <w:pPr>
        <w:widowControl w:val="0"/>
        <w:autoSpaceDE w:val="0"/>
        <w:autoSpaceDN w:val="0"/>
        <w:adjustRightInd w:val="0"/>
        <w:spacing w:before="120" w:after="120" w:line="240" w:lineRule="auto"/>
        <w:ind w:right="51"/>
        <w:rPr>
          <w:rFonts w:ascii="Arial" w:hAnsi="Arial" w:cs="Arial"/>
          <w:b/>
          <w:bCs/>
          <w:caps/>
          <w:noProof/>
          <w:snapToGrid w:val="0"/>
          <w:color w:val="0F4761" w:themeColor="accent1" w:themeShade="BF"/>
        </w:rPr>
      </w:pPr>
      <w:r w:rsidRPr="00F44437">
        <w:rPr>
          <w:rFonts w:ascii="Arial" w:hAnsi="Arial" w:cs="Arial"/>
          <w:b/>
          <w:bCs/>
          <w:caps/>
          <w:noProof/>
          <w:snapToGrid w:val="0"/>
          <w:color w:val="0F4761" w:themeColor="accent1" w:themeShade="BF"/>
        </w:rPr>
        <w:t xml:space="preserve">A humanidade e o poder digital: </w:t>
      </w:r>
      <w:r w:rsidRPr="00F44437">
        <w:rPr>
          <w:rFonts w:ascii="Arial" w:hAnsi="Arial" w:cs="Arial"/>
          <w:b/>
          <w:bCs/>
          <w:noProof/>
          <w:snapToGrid w:val="0"/>
          <w:color w:val="0F4761" w:themeColor="accent1" w:themeShade="BF"/>
        </w:rPr>
        <w:t>Impactos da IA sobre nosso futuro</w:t>
      </w:r>
    </w:p>
    <w:p w14:paraId="77CB170A" w14:textId="4CD73F0A" w:rsidR="00FF56CA" w:rsidRPr="00F44437" w:rsidRDefault="00F44437" w:rsidP="00F44437">
      <w:pPr>
        <w:rPr>
          <w:rFonts w:ascii="Arial" w:hAnsi="Arial" w:cs="Arial"/>
          <w:smallCaps/>
          <w:noProof/>
          <w:snapToGrid w:val="0"/>
          <w:color w:val="215E99" w:themeColor="text2" w:themeTint="BF"/>
        </w:rPr>
      </w:pPr>
      <w:r w:rsidRPr="00F44437">
        <w:rPr>
          <w:rFonts w:ascii="Arial" w:hAnsi="Arial" w:cs="Arial"/>
          <w:smallCaps/>
          <w:noProof/>
          <w:snapToGrid w:val="0"/>
          <w:color w:val="215E99" w:themeColor="text2" w:themeTint="BF"/>
        </w:rPr>
        <w:t>Eduardo Felipe Matias</w:t>
      </w:r>
    </w:p>
    <w:p w14:paraId="051C0F16" w14:textId="77777777" w:rsidR="00F44437" w:rsidRPr="00F44437" w:rsidRDefault="00F44437" w:rsidP="00F44437">
      <w:pPr>
        <w:rPr>
          <w:rFonts w:ascii="Arial" w:hAnsi="Arial" w:cs="Arial"/>
          <w:smallCaps/>
          <w:noProof/>
          <w:snapToGrid w:val="0"/>
          <w:color w:val="215E99" w:themeColor="text2" w:themeTint="BF"/>
        </w:rPr>
      </w:pPr>
    </w:p>
    <w:p w14:paraId="1E70DD8F" w14:textId="331A680B" w:rsidR="00F44437" w:rsidRPr="00F44437" w:rsidRDefault="00F44437" w:rsidP="00F44437">
      <w:pPr>
        <w:pStyle w:val="TextosemFormatao"/>
        <w:spacing w:before="120" w:after="120" w:line="320" w:lineRule="exact"/>
        <w:rPr>
          <w:rFonts w:ascii="Arial" w:hAnsi="Arial" w:cs="Arial"/>
          <w:b/>
          <w:bCs/>
          <w:szCs w:val="22"/>
          <w:u w:val="single"/>
        </w:rPr>
      </w:pPr>
      <w:r w:rsidRPr="00F44437">
        <w:rPr>
          <w:rFonts w:ascii="Arial" w:hAnsi="Arial" w:cs="Arial"/>
          <w:b/>
          <w:bCs/>
          <w:szCs w:val="22"/>
          <w:u w:val="single"/>
        </w:rPr>
        <w:t>Apresentação dos capítulos</w:t>
      </w:r>
    </w:p>
    <w:p w14:paraId="399B8602" w14:textId="77777777" w:rsidR="00F44437" w:rsidRPr="00F44437" w:rsidRDefault="00F44437" w:rsidP="00F44437"/>
    <w:p w14:paraId="3EF650B1" w14:textId="77777777" w:rsidR="00F44437" w:rsidRPr="00F44437" w:rsidRDefault="00F44437" w:rsidP="00F44437">
      <w:pPr>
        <w:spacing w:before="120" w:after="120" w:line="360" w:lineRule="auto"/>
        <w:jc w:val="both"/>
        <w:rPr>
          <w:rFonts w:ascii="Arial" w:eastAsia="Times New Roman" w:hAnsi="Arial" w:cs="Arial"/>
        </w:rPr>
      </w:pPr>
      <w:r w:rsidRPr="00F44437">
        <w:rPr>
          <w:rFonts w:ascii="Arial" w:eastAsia="Times New Roman" w:hAnsi="Arial" w:cs="Arial"/>
        </w:rPr>
        <w:t>As transformações que vivemos atualmente representam um novo salto na maneira como produzimos, nos informamos e nos relacionamos. O digital permeia e molda a humanidade, que corre o risco de perder o controle sobre seu próprio destino. Discutiremos aqui os principais desafios da nossa era, em um cenário em que a economia, a política e o cotidiano são modificados de forma cada vez mais acelerada. Novos protagonistas concentram poder econômico e a capacidade de definir regras, induzir comportamentos e influenciar o debate público. Tecnologias emergentes automatizam decisões, trazendo consequências éticas e econômicas, pressionando instituições e exigindo novos modelos de governança. Juntas, todas essas mudanças levantam questões centrais sobre o futuro da democracia, da autonomia individual e da distribuição de poder na sociedade.</w:t>
      </w:r>
    </w:p>
    <w:p w14:paraId="0A827E14" w14:textId="47BFD7C4" w:rsidR="00F44437" w:rsidRPr="00F44437" w:rsidRDefault="00F44437" w:rsidP="00F44437">
      <w:pPr>
        <w:spacing w:before="120" w:after="120" w:line="360" w:lineRule="auto"/>
        <w:jc w:val="both"/>
        <w:rPr>
          <w:rFonts w:ascii="Arial" w:eastAsia="Times New Roman" w:hAnsi="Arial" w:cs="Arial"/>
        </w:rPr>
      </w:pPr>
      <w:r w:rsidRPr="00F44437">
        <w:rPr>
          <w:rFonts w:ascii="Arial" w:eastAsia="Times New Roman" w:hAnsi="Arial" w:cs="Arial"/>
        </w:rPr>
        <w:t xml:space="preserve">O livro explora essas questões por meio de um mosaico amplo, em que cada peça conta, mas é o conjunto que revela o desenho por inteiro. Para isso, está dividido em duas partes. A </w:t>
      </w:r>
      <w:r w:rsidRPr="00F44437">
        <w:rPr>
          <w:rFonts w:ascii="Arial" w:eastAsia="Times New Roman" w:hAnsi="Arial" w:cs="Arial"/>
          <w:b/>
          <w:bCs/>
        </w:rPr>
        <w:t>primeira</w:t>
      </w:r>
      <w:r w:rsidRPr="00F44437">
        <w:rPr>
          <w:rFonts w:ascii="Arial" w:eastAsia="Times New Roman" w:hAnsi="Arial" w:cs="Arial"/>
        </w:rPr>
        <w:t xml:space="preserve"> </w:t>
      </w:r>
      <w:r w:rsidRPr="00F44437">
        <w:rPr>
          <w:rFonts w:ascii="Arial" w:eastAsia="Times New Roman" w:hAnsi="Arial" w:cs="Arial"/>
          <w:b/>
          <w:bCs/>
        </w:rPr>
        <w:t>parte</w:t>
      </w:r>
      <w:r>
        <w:rPr>
          <w:rFonts w:ascii="Arial" w:eastAsia="Times New Roman" w:hAnsi="Arial" w:cs="Arial"/>
        </w:rPr>
        <w:t xml:space="preserve"> </w:t>
      </w:r>
      <w:r w:rsidRPr="00F44437">
        <w:rPr>
          <w:rFonts w:ascii="Arial" w:eastAsia="Times New Roman" w:hAnsi="Arial" w:cs="Arial"/>
        </w:rPr>
        <w:t xml:space="preserve">se dedica à análise de dois elementos centrais da era digital: seu principal ator – as plataformas – e suas tecnologias mais emblemáticas, notadamente a inteligência artificial (IA). A </w:t>
      </w:r>
      <w:r w:rsidRPr="00F44437">
        <w:rPr>
          <w:rFonts w:ascii="Arial" w:eastAsia="Times New Roman" w:hAnsi="Arial" w:cs="Arial"/>
          <w:b/>
          <w:bCs/>
        </w:rPr>
        <w:t>segunda parte</w:t>
      </w:r>
      <w:r w:rsidRPr="00F44437">
        <w:rPr>
          <w:rFonts w:ascii="Arial" w:eastAsia="Times New Roman" w:hAnsi="Arial" w:cs="Arial"/>
        </w:rPr>
        <w:t xml:space="preserve"> examina os desdobramentos sociais e políticos da ascensão do poder digital desses atores e tecnologias, com especial ênfase em seus efeitos sobre a desigualdade, a democracia e a legitimidade.</w:t>
      </w:r>
    </w:p>
    <w:p w14:paraId="4B2B8EB2" w14:textId="68A917CC" w:rsidR="00F44437" w:rsidRPr="00F44437" w:rsidRDefault="00F44437" w:rsidP="00F44437">
      <w:pPr>
        <w:spacing w:before="120" w:after="120" w:line="360" w:lineRule="auto"/>
        <w:jc w:val="both"/>
        <w:rPr>
          <w:rFonts w:ascii="Arial" w:eastAsia="Times New Roman" w:hAnsi="Arial" w:cs="Arial"/>
        </w:rPr>
      </w:pPr>
      <w:r w:rsidRPr="00F44437">
        <w:rPr>
          <w:rFonts w:ascii="Arial" w:eastAsia="Times New Roman" w:hAnsi="Arial" w:cs="Arial"/>
        </w:rPr>
        <w:t xml:space="preserve">O ponto de partida, no </w:t>
      </w:r>
      <w:r w:rsidRPr="00F44437">
        <w:rPr>
          <w:rFonts w:ascii="Arial" w:eastAsia="Times New Roman" w:hAnsi="Arial" w:cs="Arial"/>
          <w:b/>
          <w:bCs/>
        </w:rPr>
        <w:t>capítulo</w:t>
      </w:r>
      <w:r w:rsidR="00D33850">
        <w:rPr>
          <w:rFonts w:ascii="Arial" w:eastAsia="Times New Roman" w:hAnsi="Arial" w:cs="Arial"/>
          <w:b/>
          <w:bCs/>
        </w:rPr>
        <w:t xml:space="preserve"> 1</w:t>
      </w:r>
      <w:r w:rsidRPr="00F44437">
        <w:rPr>
          <w:rFonts w:ascii="Arial" w:eastAsia="Times New Roman" w:hAnsi="Arial" w:cs="Arial"/>
        </w:rPr>
        <w:t>, é o crescimento tecnológico exponencial – uma das características definidoras do nosso tempo – e a velocidade com que inovações se disseminam e reconfiguram o cotidiano, muitas vezes de forma abrupta e disruptiva. A internet ocupa papel central nesse processo ao ter viabilizado, com a popularização de computadores e dispositivos conectados, uma explosão no volume de dados disponíveis e a consolidação do chamado big data. Isso, somado ao aumento do poder computacional, criou as condições para o avanço acelerado da IA.</w:t>
      </w:r>
    </w:p>
    <w:p w14:paraId="610E1CCD" w14:textId="77777777" w:rsidR="00F44437" w:rsidRPr="00F44437" w:rsidRDefault="00F44437" w:rsidP="00F44437">
      <w:pPr>
        <w:spacing w:before="120" w:after="120" w:line="360" w:lineRule="auto"/>
        <w:jc w:val="both"/>
        <w:rPr>
          <w:rFonts w:ascii="Arial" w:eastAsia="Times New Roman" w:hAnsi="Arial" w:cs="Arial"/>
        </w:rPr>
      </w:pPr>
      <w:r w:rsidRPr="00F44437">
        <w:rPr>
          <w:rFonts w:ascii="Arial" w:eastAsia="Times New Roman" w:hAnsi="Arial" w:cs="Arial"/>
        </w:rPr>
        <w:t xml:space="preserve">As big </w:t>
      </w:r>
      <w:proofErr w:type="spellStart"/>
      <w:r w:rsidRPr="00F44437">
        <w:rPr>
          <w:rFonts w:ascii="Arial" w:eastAsia="Times New Roman" w:hAnsi="Arial" w:cs="Arial"/>
        </w:rPr>
        <w:t>techs</w:t>
      </w:r>
      <w:proofErr w:type="spellEnd"/>
      <w:r w:rsidRPr="00F44437">
        <w:rPr>
          <w:rFonts w:ascii="Arial" w:eastAsia="Times New Roman" w:hAnsi="Arial" w:cs="Arial"/>
        </w:rPr>
        <w:t xml:space="preserve"> assumem, nesse contexto, um papel dominante na economia digital. Analisam-se os fatores que favoreceram seu crescimento em escala e influência, bem como as bases de seu modelo de negócios, estruturado na coleta e exploração intensiva de dados pessoais, com destaque para conceitos como capitalismo de vigilância, </w:t>
      </w:r>
      <w:r w:rsidRPr="00F44437">
        <w:rPr>
          <w:rFonts w:ascii="Arial" w:eastAsia="Times New Roman" w:hAnsi="Arial" w:cs="Arial"/>
        </w:rPr>
        <w:lastRenderedPageBreak/>
        <w:t>economia da atenção e publicidade de precisão, fundamentais para compreender a lógica que sustenta seu poder.</w:t>
      </w:r>
    </w:p>
    <w:p w14:paraId="7573D204" w14:textId="77777777" w:rsidR="00F44437" w:rsidRPr="00F44437" w:rsidRDefault="00F44437" w:rsidP="00F44437">
      <w:pPr>
        <w:spacing w:before="120" w:after="120" w:line="360" w:lineRule="auto"/>
        <w:jc w:val="both"/>
        <w:rPr>
          <w:rFonts w:ascii="Arial" w:eastAsia="Times New Roman" w:hAnsi="Arial" w:cs="Arial"/>
        </w:rPr>
      </w:pPr>
      <w:r w:rsidRPr="00F44437">
        <w:rPr>
          <w:rFonts w:ascii="Arial" w:eastAsia="Times New Roman" w:hAnsi="Arial" w:cs="Arial"/>
        </w:rPr>
        <w:t xml:space="preserve">O </w:t>
      </w:r>
      <w:r w:rsidRPr="00F44437">
        <w:rPr>
          <w:rFonts w:ascii="Arial" w:eastAsia="Times New Roman" w:hAnsi="Arial" w:cs="Arial"/>
          <w:b/>
          <w:bCs/>
        </w:rPr>
        <w:t>capítulo 2</w:t>
      </w:r>
      <w:r w:rsidRPr="00F44437">
        <w:rPr>
          <w:rFonts w:ascii="Arial" w:eastAsia="Times New Roman" w:hAnsi="Arial" w:cs="Arial"/>
        </w:rPr>
        <w:t xml:space="preserve"> trata das propostas para restringir esse poder, diante dos aspectos negativos da formação de monopólios e da crescente concentração nos mercados digitais. São discutidas iniciativas antitruste e medidas que buscam restringir a coleta de dados e ampliar o controle dos usuários sobre suas informações.</w:t>
      </w:r>
    </w:p>
    <w:p w14:paraId="774CD2B8" w14:textId="4E6BBDB9" w:rsidR="00F44437" w:rsidRPr="00F44437" w:rsidRDefault="00F44437" w:rsidP="00F44437">
      <w:pPr>
        <w:spacing w:before="120" w:after="120" w:line="360" w:lineRule="auto"/>
        <w:jc w:val="both"/>
        <w:rPr>
          <w:rFonts w:ascii="Arial" w:eastAsia="Times New Roman" w:hAnsi="Arial" w:cs="Arial"/>
        </w:rPr>
      </w:pPr>
      <w:r w:rsidRPr="00F44437">
        <w:rPr>
          <w:rFonts w:ascii="Arial" w:eastAsia="Times New Roman" w:hAnsi="Arial" w:cs="Arial"/>
        </w:rPr>
        <w:t xml:space="preserve">O </w:t>
      </w:r>
      <w:r w:rsidRPr="00D33850">
        <w:rPr>
          <w:rFonts w:ascii="Arial" w:eastAsia="Times New Roman" w:hAnsi="Arial" w:cs="Arial"/>
          <w:b/>
          <w:bCs/>
        </w:rPr>
        <w:t>capítulo</w:t>
      </w:r>
      <w:r w:rsidR="00D33850">
        <w:rPr>
          <w:rFonts w:ascii="Arial" w:eastAsia="Times New Roman" w:hAnsi="Arial" w:cs="Arial"/>
          <w:b/>
          <w:bCs/>
        </w:rPr>
        <w:t xml:space="preserve"> 3</w:t>
      </w:r>
      <w:r w:rsidRPr="00F44437">
        <w:rPr>
          <w:rFonts w:ascii="Arial" w:eastAsia="Times New Roman" w:hAnsi="Arial" w:cs="Arial"/>
        </w:rPr>
        <w:t xml:space="preserve"> é dedicado à IA. Conceitos e técnicas associadas ao seu funcionamento – como </w:t>
      </w:r>
      <w:r w:rsidRPr="00F44437">
        <w:rPr>
          <w:rFonts w:ascii="Arial" w:eastAsia="Times New Roman" w:hAnsi="Arial" w:cs="Arial"/>
          <w:i/>
          <w:iCs/>
        </w:rPr>
        <w:t>machine learning</w:t>
      </w:r>
      <w:r w:rsidRPr="00F44437">
        <w:rPr>
          <w:rFonts w:ascii="Arial" w:eastAsia="Times New Roman" w:hAnsi="Arial" w:cs="Arial"/>
        </w:rPr>
        <w:t xml:space="preserve"> e </w:t>
      </w:r>
      <w:proofErr w:type="spellStart"/>
      <w:r w:rsidRPr="00F44437">
        <w:rPr>
          <w:rFonts w:ascii="Arial" w:eastAsia="Times New Roman" w:hAnsi="Arial" w:cs="Arial"/>
          <w:i/>
          <w:iCs/>
        </w:rPr>
        <w:t>deep</w:t>
      </w:r>
      <w:proofErr w:type="spellEnd"/>
      <w:r w:rsidRPr="00F44437">
        <w:rPr>
          <w:rFonts w:ascii="Arial" w:eastAsia="Times New Roman" w:hAnsi="Arial" w:cs="Arial"/>
          <w:i/>
          <w:iCs/>
        </w:rPr>
        <w:t xml:space="preserve"> learning</w:t>
      </w:r>
      <w:r w:rsidRPr="00F44437">
        <w:rPr>
          <w:rFonts w:ascii="Arial" w:eastAsia="Times New Roman" w:hAnsi="Arial" w:cs="Arial"/>
        </w:rPr>
        <w:t xml:space="preserve"> – são apresentados junto à distinção entre aplicações restritas e a chamada inteligência artificial geral (AGI). A possibilidade de surgimento de uma superinteligência levanta preocupações relevantes, relacionadas a ideias como explosão de inteligência, singularidade tecnológica e transumanismo. O desenvolvimento de sistemas altamente autônomos impõe perigos difíceis de antecipar. O chamado “problema do alinhamento” exige estratégias que assegurem a segurança desses sistemas e sua aderência aos objetivos humanos.</w:t>
      </w:r>
    </w:p>
    <w:p w14:paraId="593CD301" w14:textId="77777777" w:rsidR="00F44437" w:rsidRPr="00F44437" w:rsidRDefault="00F44437" w:rsidP="00F44437">
      <w:pPr>
        <w:spacing w:before="120" w:after="120" w:line="360" w:lineRule="auto"/>
        <w:jc w:val="both"/>
        <w:rPr>
          <w:rFonts w:ascii="Arial" w:eastAsia="Times New Roman" w:hAnsi="Arial" w:cs="Arial"/>
        </w:rPr>
      </w:pPr>
      <w:r w:rsidRPr="00F44437">
        <w:rPr>
          <w:rFonts w:ascii="Arial" w:eastAsia="Times New Roman" w:hAnsi="Arial" w:cs="Arial"/>
        </w:rPr>
        <w:t xml:space="preserve">O </w:t>
      </w:r>
      <w:r w:rsidRPr="00D33850">
        <w:rPr>
          <w:rFonts w:ascii="Arial" w:eastAsia="Times New Roman" w:hAnsi="Arial" w:cs="Arial"/>
          <w:b/>
          <w:bCs/>
        </w:rPr>
        <w:t>capítulo 4</w:t>
      </w:r>
      <w:r w:rsidRPr="00F44437">
        <w:rPr>
          <w:rFonts w:ascii="Arial" w:eastAsia="Times New Roman" w:hAnsi="Arial" w:cs="Arial"/>
        </w:rPr>
        <w:t xml:space="preserve"> examina o funcionamento dos algoritmos e aborda problemas como a opacidade de muitos desses sistemas, que são verdadeiras “caixas-pretas”, e a possibilidade de apresentarem vieses, reforçando desigualdades preexistentes ao reproduzirem padrões contidos nos dados usados para alimentá-los. São analisadas, ainda, propostas voltadas a tornar os sistemas mais transparentes e explicáveis, a fim de que operem de forma responsável.</w:t>
      </w:r>
    </w:p>
    <w:p w14:paraId="0D77B870" w14:textId="57F37A14" w:rsidR="00F44437" w:rsidRPr="00F44437" w:rsidRDefault="00F44437" w:rsidP="00F44437">
      <w:pPr>
        <w:spacing w:before="120" w:after="120" w:line="360" w:lineRule="auto"/>
        <w:jc w:val="both"/>
        <w:rPr>
          <w:rFonts w:ascii="Arial" w:eastAsia="Times New Roman" w:hAnsi="Arial" w:cs="Arial"/>
        </w:rPr>
      </w:pPr>
      <w:r w:rsidRPr="00F44437">
        <w:rPr>
          <w:rFonts w:ascii="Arial" w:eastAsia="Times New Roman" w:hAnsi="Arial" w:cs="Arial"/>
        </w:rPr>
        <w:t xml:space="preserve">A regulação da IA é o tema do </w:t>
      </w:r>
      <w:r w:rsidRPr="00D33850">
        <w:rPr>
          <w:rFonts w:ascii="Arial" w:eastAsia="Times New Roman" w:hAnsi="Arial" w:cs="Arial"/>
          <w:b/>
          <w:bCs/>
        </w:rPr>
        <w:t>capítulo</w:t>
      </w:r>
      <w:r w:rsidR="00D33850" w:rsidRPr="00D33850">
        <w:rPr>
          <w:rFonts w:ascii="Arial" w:eastAsia="Times New Roman" w:hAnsi="Arial" w:cs="Arial"/>
          <w:b/>
          <w:bCs/>
        </w:rPr>
        <w:t xml:space="preserve"> 5</w:t>
      </w:r>
      <w:r w:rsidRPr="00F44437">
        <w:rPr>
          <w:rFonts w:ascii="Arial" w:eastAsia="Times New Roman" w:hAnsi="Arial" w:cs="Arial"/>
        </w:rPr>
        <w:t xml:space="preserve">. Os obstáculos são diversos – da imprevisibilidade do comportamento de sistemas mais avançados à defasagem entre a velocidade do surgimento de novas tecnologias e </w:t>
      </w:r>
      <w:r>
        <w:rPr>
          <w:rFonts w:ascii="Arial" w:eastAsia="Times New Roman" w:hAnsi="Arial" w:cs="Arial"/>
        </w:rPr>
        <w:t xml:space="preserve">a </w:t>
      </w:r>
      <w:r w:rsidRPr="00F44437">
        <w:rPr>
          <w:rFonts w:ascii="Arial" w:eastAsia="Times New Roman" w:hAnsi="Arial" w:cs="Arial"/>
        </w:rPr>
        <w:t xml:space="preserve">da criação de normas, passando pelos entraves à responsabilização de agentes autônomos envolvidos em falhas. Os prós e contras de duas abordagens – a autorregulação das empresas e a criação de agências reguladoras especializadas – são examinados, bem como os </w:t>
      </w:r>
      <w:r w:rsidRPr="00F44437">
        <w:rPr>
          <w:rFonts w:ascii="Arial" w:eastAsia="Times New Roman" w:hAnsi="Arial" w:cs="Arial"/>
          <w:i/>
          <w:iCs/>
        </w:rPr>
        <w:t>trade-</w:t>
      </w:r>
      <w:proofErr w:type="spellStart"/>
      <w:r w:rsidRPr="00F44437">
        <w:rPr>
          <w:rFonts w:ascii="Arial" w:eastAsia="Times New Roman" w:hAnsi="Arial" w:cs="Arial"/>
          <w:i/>
          <w:iCs/>
        </w:rPr>
        <w:t>offs</w:t>
      </w:r>
      <w:proofErr w:type="spellEnd"/>
      <w:r w:rsidRPr="00F44437">
        <w:rPr>
          <w:rFonts w:ascii="Arial" w:eastAsia="Times New Roman" w:hAnsi="Arial" w:cs="Arial"/>
        </w:rPr>
        <w:t xml:space="preserve"> entre a implementação de mecanismos de controle e o necessário estímulo à inovação.</w:t>
      </w:r>
    </w:p>
    <w:p w14:paraId="44EB69D1" w14:textId="77777777" w:rsidR="00F44437" w:rsidRPr="00F44437" w:rsidRDefault="00F44437" w:rsidP="00F44437">
      <w:pPr>
        <w:spacing w:before="120" w:after="120" w:line="360" w:lineRule="auto"/>
        <w:jc w:val="both"/>
        <w:rPr>
          <w:rFonts w:ascii="Arial" w:eastAsia="Times New Roman" w:hAnsi="Arial" w:cs="Arial"/>
        </w:rPr>
      </w:pPr>
      <w:r w:rsidRPr="00F44437">
        <w:rPr>
          <w:rFonts w:ascii="Arial" w:eastAsia="Times New Roman" w:hAnsi="Arial" w:cs="Arial"/>
        </w:rPr>
        <w:t xml:space="preserve">A segunda parte do livro tem início no </w:t>
      </w:r>
      <w:r w:rsidRPr="00D33850">
        <w:rPr>
          <w:rFonts w:ascii="Arial" w:eastAsia="Times New Roman" w:hAnsi="Arial" w:cs="Arial"/>
          <w:b/>
          <w:bCs/>
        </w:rPr>
        <w:t>capítulo 6</w:t>
      </w:r>
      <w:r w:rsidRPr="00F44437">
        <w:rPr>
          <w:rFonts w:ascii="Arial" w:eastAsia="Times New Roman" w:hAnsi="Arial" w:cs="Arial"/>
        </w:rPr>
        <w:t>, que analisa os impactos da automação sobre o emprego, a renda e a concentração de riqueza. Parte-se do fenômeno do desemprego tecnológico e de seus efeitos sobre o mercado de trabalho e a produtividade, examinando como a disseminação da IA, em especial de sua vertente generativa, tende a acentuar desigualdades já existentes, tanto dentro dos países quanto entre diferentes regiões do mundo. Entre as alternativas exploradas para lidar com esse quadro, estão o uso da IA para ampliar – e não substituir – as capacidades humanas e a proposta de uma renda básica universal.</w:t>
      </w:r>
    </w:p>
    <w:p w14:paraId="16475B8F" w14:textId="06D284E2" w:rsidR="00F44437" w:rsidRPr="00F44437" w:rsidRDefault="00F44437" w:rsidP="00F44437">
      <w:pPr>
        <w:spacing w:before="120" w:after="120" w:line="360" w:lineRule="auto"/>
        <w:jc w:val="both"/>
        <w:rPr>
          <w:rFonts w:ascii="Arial" w:eastAsia="Times New Roman" w:hAnsi="Arial" w:cs="Arial"/>
        </w:rPr>
      </w:pPr>
      <w:r w:rsidRPr="00F44437">
        <w:rPr>
          <w:rFonts w:ascii="Arial" w:eastAsia="Times New Roman" w:hAnsi="Arial" w:cs="Arial"/>
        </w:rPr>
        <w:lastRenderedPageBreak/>
        <w:t xml:space="preserve">O </w:t>
      </w:r>
      <w:r w:rsidRPr="00D33850">
        <w:rPr>
          <w:rFonts w:ascii="Arial" w:eastAsia="Times New Roman" w:hAnsi="Arial" w:cs="Arial"/>
          <w:b/>
          <w:bCs/>
        </w:rPr>
        <w:t>capítulo</w:t>
      </w:r>
      <w:r w:rsidR="00D33850" w:rsidRPr="00D33850">
        <w:rPr>
          <w:rFonts w:ascii="Arial" w:eastAsia="Times New Roman" w:hAnsi="Arial" w:cs="Arial"/>
          <w:b/>
          <w:bCs/>
        </w:rPr>
        <w:t xml:space="preserve"> 7</w:t>
      </w:r>
      <w:r w:rsidRPr="00F44437">
        <w:rPr>
          <w:rFonts w:ascii="Arial" w:eastAsia="Times New Roman" w:hAnsi="Arial" w:cs="Arial"/>
        </w:rPr>
        <w:t xml:space="preserve"> examina os vínculos entre tecnologia e autoritarismo. Ferramentas digitais vêm sendo utilizadas por ativistas para articular mobilizações políticas, mas também por Estados autoritários para reprimir, vigiar e censurar, com destaque para o exemplo da China. Tecnologias como o reconhecimento facial geram preocupação mesmo em democracias, cujos limites institucionais são postos à prova diante do crescente poder de monitoramento estatal.</w:t>
      </w:r>
    </w:p>
    <w:p w14:paraId="4A902E40" w14:textId="3C4EED68" w:rsidR="00F44437" w:rsidRPr="00F44437" w:rsidRDefault="00F44437" w:rsidP="00F44437">
      <w:pPr>
        <w:spacing w:before="120" w:after="120" w:line="360" w:lineRule="auto"/>
        <w:jc w:val="both"/>
        <w:rPr>
          <w:rFonts w:ascii="Arial" w:eastAsia="Times New Roman" w:hAnsi="Arial" w:cs="Arial"/>
        </w:rPr>
      </w:pPr>
      <w:r w:rsidRPr="00F44437">
        <w:rPr>
          <w:rFonts w:ascii="Arial" w:eastAsia="Times New Roman" w:hAnsi="Arial" w:cs="Arial"/>
        </w:rPr>
        <w:t xml:space="preserve">O impacto das ferramentas digitais sobre a democracia é analisado no </w:t>
      </w:r>
      <w:r w:rsidRPr="00D33850">
        <w:rPr>
          <w:rFonts w:ascii="Arial" w:eastAsia="Times New Roman" w:hAnsi="Arial" w:cs="Arial"/>
          <w:b/>
          <w:bCs/>
        </w:rPr>
        <w:t>capítulo</w:t>
      </w:r>
      <w:r w:rsidR="00D33850" w:rsidRPr="00D33850">
        <w:rPr>
          <w:rFonts w:ascii="Arial" w:eastAsia="Times New Roman" w:hAnsi="Arial" w:cs="Arial"/>
          <w:b/>
          <w:bCs/>
        </w:rPr>
        <w:t xml:space="preserve"> 8</w:t>
      </w:r>
      <w:r w:rsidRPr="00F44437">
        <w:rPr>
          <w:rFonts w:ascii="Arial" w:eastAsia="Times New Roman" w:hAnsi="Arial" w:cs="Arial"/>
        </w:rPr>
        <w:t xml:space="preserve">. A internet se tornou a nova praça pública, substituindo progressivamente os meios de comunicação tradicionais como espaço central do debate político. Redes sociais, orientadas à maximização do engajamento e à viralização, podem favorecer a disseminação de desinformação sob diversas formas – inclusive as resultantes do uso de IA generativa e </w:t>
      </w:r>
      <w:proofErr w:type="spellStart"/>
      <w:r w:rsidRPr="00F44437">
        <w:rPr>
          <w:rFonts w:ascii="Arial" w:eastAsia="Times New Roman" w:hAnsi="Arial" w:cs="Arial"/>
        </w:rPr>
        <w:t>deepfakes</w:t>
      </w:r>
      <w:proofErr w:type="spellEnd"/>
      <w:r w:rsidRPr="00F44437">
        <w:rPr>
          <w:rFonts w:ascii="Arial" w:eastAsia="Times New Roman" w:hAnsi="Arial" w:cs="Arial"/>
        </w:rPr>
        <w:t>. As questões que isso suscita, no entanto, não se prestam a respostas simplistas. Por isso, fenômenos como câmaras de eco, discursos de ódio e polarização política são analisados com base em evidências empíricas recentes, levando em conta sua complexidade e as ambiguidades que os cercam.</w:t>
      </w:r>
    </w:p>
    <w:p w14:paraId="184B3B06" w14:textId="77777777" w:rsidR="00F44437" w:rsidRPr="00F44437" w:rsidRDefault="00F44437" w:rsidP="00F44437">
      <w:pPr>
        <w:spacing w:before="120" w:after="120" w:line="360" w:lineRule="auto"/>
        <w:jc w:val="both"/>
        <w:rPr>
          <w:rFonts w:ascii="Arial" w:eastAsia="Times New Roman" w:hAnsi="Arial" w:cs="Arial"/>
        </w:rPr>
      </w:pPr>
      <w:r w:rsidRPr="00F44437">
        <w:rPr>
          <w:rFonts w:ascii="Arial" w:eastAsia="Times New Roman" w:hAnsi="Arial" w:cs="Arial"/>
        </w:rPr>
        <w:t xml:space="preserve">As respostas à desinformação são abordadas no </w:t>
      </w:r>
      <w:r w:rsidRPr="00D33850">
        <w:rPr>
          <w:rFonts w:ascii="Arial" w:eastAsia="Times New Roman" w:hAnsi="Arial" w:cs="Arial"/>
          <w:b/>
          <w:bCs/>
        </w:rPr>
        <w:t>capítulo 9</w:t>
      </w:r>
      <w:r w:rsidRPr="00F44437">
        <w:rPr>
          <w:rFonts w:ascii="Arial" w:eastAsia="Times New Roman" w:hAnsi="Arial" w:cs="Arial"/>
        </w:rPr>
        <w:t>, com foco nos mecanismos de moderação de conteúdo. São analisados os impasses e as dificuldades desse processo, bem como estratégias para torná-lo mais efetivo e transparente.</w:t>
      </w:r>
    </w:p>
    <w:p w14:paraId="39E4A0BF" w14:textId="58848C4F" w:rsidR="00F44437" w:rsidRPr="00D33850" w:rsidRDefault="00F44437" w:rsidP="00D33850">
      <w:pPr>
        <w:spacing w:before="120" w:after="120" w:line="360" w:lineRule="auto"/>
        <w:jc w:val="both"/>
        <w:rPr>
          <w:rFonts w:ascii="Arial" w:eastAsia="Times New Roman" w:hAnsi="Arial" w:cs="Arial"/>
        </w:rPr>
      </w:pPr>
      <w:r w:rsidRPr="00F44437">
        <w:rPr>
          <w:rFonts w:ascii="Arial" w:eastAsia="Times New Roman" w:hAnsi="Arial" w:cs="Arial"/>
        </w:rPr>
        <w:t xml:space="preserve">O </w:t>
      </w:r>
      <w:r w:rsidRPr="00D33850">
        <w:rPr>
          <w:rFonts w:ascii="Arial" w:eastAsia="Times New Roman" w:hAnsi="Arial" w:cs="Arial"/>
          <w:b/>
          <w:bCs/>
        </w:rPr>
        <w:t>capítulo</w:t>
      </w:r>
      <w:r w:rsidR="00D33850" w:rsidRPr="00D33850">
        <w:rPr>
          <w:rFonts w:ascii="Arial" w:eastAsia="Times New Roman" w:hAnsi="Arial" w:cs="Arial"/>
          <w:b/>
          <w:bCs/>
        </w:rPr>
        <w:t xml:space="preserve"> 10</w:t>
      </w:r>
      <w:r w:rsidRPr="00F44437">
        <w:rPr>
          <w:rFonts w:ascii="Arial" w:eastAsia="Times New Roman" w:hAnsi="Arial" w:cs="Arial"/>
        </w:rPr>
        <w:t xml:space="preserve"> propõe uma reflexão sobre governança, legitimidade e autonomia na era digital. Ao estabelecerem e aplicarem suas próprias regras unilateralmente, as plataformas assumem funções comparáveis às de legisladores e juízes, exercendo uma espécie de soberania no ambiente on-line. Seu controle do discurso público as torna governantes privados da liberdade de expressão. A noção de que “o código é lei” ajuda a compreender como algoritmos se tornaram instrumentos regulatórios eficazes, porém a aposta no “solucionismo tecnológico” pode ter consequências indesejadas. A governança pelo design pode ocultar escolhas políticas e dificultar o escrutínio público de decisões que afetam a sociedade. O poder assimétrico decorrente do controle de dados e da vigilância digital afeta não apenas a privacidade, mas também a autonomia individual e o exercício do livre-arbítrio em um mundo cada vez mais condicionado por tecnologias onipresentes e invisíveis.</w:t>
      </w:r>
    </w:p>
    <w:sectPr w:rsidR="00F44437" w:rsidRPr="00D3385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437"/>
    <w:rsid w:val="001364CD"/>
    <w:rsid w:val="00D318A6"/>
    <w:rsid w:val="00D33850"/>
    <w:rsid w:val="00E42CB4"/>
    <w:rsid w:val="00F44437"/>
    <w:rsid w:val="00FF5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A5973E"/>
  <w15:chartTrackingRefBased/>
  <w15:docId w15:val="{B122DA70-7E24-420A-89BB-85A7135F3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4437"/>
    <w:pPr>
      <w:spacing w:line="259" w:lineRule="auto"/>
    </w:pPr>
    <w:rPr>
      <w:kern w:val="0"/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F4443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4443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4443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4443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4443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4443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4443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4443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4443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444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444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444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4443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44437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4443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4443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4443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4443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444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444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4443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444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44437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F4443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44437"/>
    <w:pPr>
      <w:spacing w:line="278" w:lineRule="auto"/>
      <w:ind w:left="720"/>
      <w:contextualSpacing/>
    </w:pPr>
    <w:rPr>
      <w:kern w:val="2"/>
      <w:sz w:val="24"/>
      <w:szCs w:val="24"/>
    </w:rPr>
  </w:style>
  <w:style w:type="character" w:styleId="nfaseIntensa">
    <w:name w:val="Intense Emphasis"/>
    <w:basedOn w:val="Fontepargpadro"/>
    <w:uiPriority w:val="21"/>
    <w:qFormat/>
    <w:rsid w:val="00F44437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444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44437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44437"/>
    <w:rPr>
      <w:b/>
      <w:bCs/>
      <w:smallCaps/>
      <w:color w:val="0F4761" w:themeColor="accent1" w:themeShade="BF"/>
      <w:spacing w:val="5"/>
    </w:rPr>
  </w:style>
  <w:style w:type="paragraph" w:styleId="TextosemFormatao">
    <w:name w:val="Plain Text"/>
    <w:basedOn w:val="Normal"/>
    <w:link w:val="TextosemFormataoChar"/>
    <w:uiPriority w:val="99"/>
    <w:unhideWhenUsed/>
    <w:rsid w:val="00F44437"/>
    <w:pPr>
      <w:spacing w:after="0" w:line="240" w:lineRule="auto"/>
    </w:pPr>
    <w:rPr>
      <w:rFonts w:ascii="Calibri" w:hAnsi="Calibri" w:cs="Consolas"/>
      <w:szCs w:val="21"/>
      <w14:ligatures w14:val="none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F44437"/>
    <w:rPr>
      <w:rFonts w:ascii="Calibri" w:hAnsi="Calibri" w:cs="Consolas"/>
      <w:kern w:val="0"/>
      <w:sz w:val="22"/>
      <w:szCs w:val="21"/>
      <w14:ligatures w14:val="none"/>
    </w:rPr>
  </w:style>
  <w:style w:type="character" w:styleId="Refdecomentrio">
    <w:name w:val="annotation reference"/>
    <w:basedOn w:val="Fontepargpadro"/>
    <w:uiPriority w:val="99"/>
    <w:semiHidden/>
    <w:unhideWhenUsed/>
    <w:rsid w:val="00F4443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F44437"/>
    <w:pPr>
      <w:spacing w:after="0" w:line="240" w:lineRule="auto"/>
    </w:pPr>
    <w:rPr>
      <w:rFonts w:ascii="Calibri" w:hAnsi="Calibri" w:cs="Calibri"/>
      <w:sz w:val="20"/>
      <w:szCs w:val="20"/>
      <w:lang w:eastAsia="pt-BR"/>
      <w14:ligatures w14:val="none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F44437"/>
    <w:rPr>
      <w:rFonts w:ascii="Calibri" w:hAnsi="Calibri" w:cs="Calibri"/>
      <w:kern w:val="0"/>
      <w:sz w:val="20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1169</Words>
  <Characters>6315</Characters>
  <Application>Microsoft Office Word</Application>
  <DocSecurity>0</DocSecurity>
  <Lines>52</Lines>
  <Paragraphs>14</Paragraphs>
  <ScaleCrop>false</ScaleCrop>
  <Company/>
  <LinksUpToDate>false</LinksUpToDate>
  <CharactersWithSpaces>7470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Felipe Matias</dc:creator>
  <cp:keywords/>
  <dc:description/>
  <cp:lastModifiedBy>Eduardo Felipe Matias</cp:lastModifiedBy>
  <cp:revision>2</cp:revision>
  <dcterms:created xsi:type="dcterms:W3CDTF">2026-03-11T14:41:00Z</dcterms:created>
  <dcterms:modified xsi:type="dcterms:W3CDTF">2026-03-11T14:50:00Z</dcterms:modified>
</cp:coreProperties>
</file>